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60"/>
        <w:gridCol w:w="15"/>
        <w:gridCol w:w="930"/>
        <w:gridCol w:w="3990"/>
        <w:gridCol w:w="810"/>
      </w:tblGrid>
      <w:tr w:rsidR="00F323B1">
        <w:trPr>
          <w:trHeight w:hRule="exact" w:val="1440"/>
        </w:trPr>
        <w:tc>
          <w:tcPr>
            <w:tcW w:w="9255" w:type="dxa"/>
            <w:gridSpan w:val="6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2235"/>
        </w:trPr>
        <w:tc>
          <w:tcPr>
            <w:tcW w:w="3510" w:type="dxa"/>
            <w:gridSpan w:val="2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4935" w:type="dxa"/>
            <w:gridSpan w:val="3"/>
          </w:tcPr>
          <w:p w:rsidR="00F323B1" w:rsidRDefault="00F323B1" w:rsidP="009D24E9">
            <w:pPr>
              <w:tabs>
                <w:tab w:val="center" w:pos="2444"/>
                <w:tab w:val="right" w:pos="4935"/>
              </w:tabs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УТВЕРЖДЕН</w:t>
            </w:r>
            <w:r>
              <w:rPr>
                <w:noProof/>
                <w:color w:val="000000"/>
              </w:rPr>
              <w:tab/>
            </w:r>
          </w:p>
          <w:p w:rsidR="00F323B1" w:rsidRDefault="00F323B1" w:rsidP="009D24E9">
            <w:pPr>
              <w:tabs>
                <w:tab w:val="center" w:pos="2444"/>
                <w:tab w:val="right" w:pos="4935"/>
              </w:tabs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 Постановлением администрации</w:t>
            </w:r>
          </w:p>
          <w:p w:rsidR="00F323B1" w:rsidRDefault="00F323B1" w:rsidP="009D24E9">
            <w:pPr>
              <w:tabs>
                <w:tab w:val="center" w:pos="2444"/>
                <w:tab w:val="right" w:pos="4935"/>
              </w:tabs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 Кировградского городского округа                                                                                                                                   </w:t>
            </w:r>
          </w:p>
          <w:p w:rsidR="00F323B1" w:rsidRDefault="00F323B1" w:rsidP="009D24E9">
            <w:pPr>
              <w:tabs>
                <w:tab w:val="center" w:pos="2444"/>
                <w:tab w:val="right" w:pos="4935"/>
              </w:tabs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 от ________________ № _____  </w:t>
            </w:r>
          </w:p>
          <w:p w:rsidR="00F323B1" w:rsidRDefault="00F323B1" w:rsidP="009D24E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9"/>
                <w:szCs w:val="19"/>
              </w:rPr>
            </w:pPr>
          </w:p>
          <w:p w:rsidR="00F323B1" w:rsidRDefault="00F323B1">
            <w:pPr>
              <w:pStyle w:val="ParagraphStyle0"/>
              <w:rPr>
                <w:rStyle w:val="CharacterStyle0"/>
                <w:szCs w:val="19"/>
              </w:rPr>
            </w:pPr>
          </w:p>
        </w:tc>
        <w:tc>
          <w:tcPr>
            <w:tcW w:w="81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9105" w:type="dxa"/>
            <w:gridSpan w:val="5"/>
            <w:vAlign w:val="center"/>
          </w:tcPr>
          <w:p w:rsidR="00F323B1" w:rsidRDefault="00F323B1">
            <w:pPr>
              <w:pStyle w:val="ParagraphStyle1"/>
              <w:rPr>
                <w:rStyle w:val="CharacterStyle1"/>
                <w:szCs w:val="28"/>
              </w:rPr>
            </w:pPr>
            <w:r>
              <w:rPr>
                <w:rStyle w:val="CharacterStyle1"/>
                <w:szCs w:val="28"/>
              </w:rPr>
              <w:t>ПАСПОРТ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9105" w:type="dxa"/>
            <w:gridSpan w:val="5"/>
            <w:vAlign w:val="center"/>
          </w:tcPr>
          <w:p w:rsidR="00F323B1" w:rsidRDefault="00F323B1">
            <w:pPr>
              <w:pStyle w:val="ParagraphStyle1"/>
              <w:rPr>
                <w:rStyle w:val="CharacterStyle1"/>
                <w:szCs w:val="28"/>
              </w:rPr>
            </w:pPr>
            <w:r>
              <w:rPr>
                <w:rStyle w:val="CharacterStyle1"/>
                <w:szCs w:val="28"/>
              </w:rPr>
              <w:t>муниципальной программы</w:t>
            </w:r>
          </w:p>
        </w:tc>
      </w:tr>
      <w:tr w:rsidR="00F323B1">
        <w:trPr>
          <w:trHeight w:val="69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9105" w:type="dxa"/>
            <w:gridSpan w:val="5"/>
            <w:vAlign w:val="center"/>
          </w:tcPr>
          <w:p w:rsidR="00F323B1" w:rsidRDefault="00F323B1">
            <w:pPr>
              <w:pStyle w:val="ParagraphStyle1"/>
              <w:rPr>
                <w:rStyle w:val="CharacterStyle1"/>
                <w:szCs w:val="28"/>
              </w:rPr>
            </w:pPr>
            <w:r>
              <w:rPr>
                <w:rStyle w:val="CharacterStyle1"/>
                <w:szCs w:val="28"/>
              </w:rPr>
              <w:t>"Развитие системы образования в Кировградском городском округе до 2027 года"</w:t>
            </w:r>
          </w:p>
        </w:tc>
      </w:tr>
      <w:tr w:rsidR="00F323B1">
        <w:trPr>
          <w:trHeight w:hRule="exact" w:val="150"/>
        </w:trPr>
        <w:tc>
          <w:tcPr>
            <w:tcW w:w="9255" w:type="dxa"/>
            <w:gridSpan w:val="6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3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30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3"/>
              <w:rPr>
                <w:rStyle w:val="CharacterStyle3"/>
                <w:szCs w:val="28"/>
              </w:rPr>
            </w:pPr>
            <w:r>
              <w:rPr>
                <w:rStyle w:val="CharacterStyle3"/>
                <w:szCs w:val="28"/>
              </w:rPr>
              <w:t>Муниципальное казенное учреждение «Управление образования Кировградского городского округа»</w:t>
            </w:r>
          </w:p>
        </w:tc>
      </w:tr>
      <w:tr w:rsidR="00F323B1">
        <w:trPr>
          <w:trHeight w:val="10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Сроки реализации муниципальной программы</w:t>
            </w:r>
          </w:p>
        </w:tc>
        <w:tc>
          <w:tcPr>
            <w:tcW w:w="930" w:type="dxa"/>
            <w:tcBorders>
              <w:top w:val="single" w:sz="6" w:space="0" w:color="000000"/>
            </w:tcBorders>
          </w:tcPr>
          <w:p w:rsidR="00F323B1" w:rsidRDefault="00F323B1">
            <w:pPr>
              <w:pStyle w:val="ParagraphStyle4"/>
              <w:rPr>
                <w:rStyle w:val="CharacterStyle4"/>
                <w:szCs w:val="28"/>
              </w:rPr>
            </w:pPr>
            <w:r>
              <w:rPr>
                <w:rStyle w:val="CharacterStyle4"/>
                <w:szCs w:val="28"/>
              </w:rPr>
              <w:t>2021 -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5"/>
              <w:rPr>
                <w:rStyle w:val="CharacterStyle5"/>
                <w:szCs w:val="28"/>
              </w:rPr>
            </w:pPr>
            <w:r>
              <w:rPr>
                <w:rStyle w:val="CharacterStyle5"/>
                <w:szCs w:val="28"/>
              </w:rPr>
              <w:t>2027 годы</w:t>
            </w:r>
          </w:p>
        </w:tc>
      </w:tr>
      <w:tr w:rsidR="00F323B1">
        <w:trPr>
          <w:trHeight w:val="10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Цели и задачи муниципальной программы</w:t>
            </w:r>
          </w:p>
        </w:tc>
        <w:tc>
          <w:tcPr>
            <w:tcW w:w="5730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6"/>
              <w:rPr>
                <w:rStyle w:val="CharacterStyle6"/>
                <w:szCs w:val="28"/>
              </w:rPr>
            </w:pPr>
            <w:r>
              <w:rPr>
                <w:rStyle w:val="CharacterStyle6"/>
                <w:szCs w:val="28"/>
              </w:rPr>
              <w:t>Цель 1. «Обеспечение 100-процентной доступности дошкольного образования для детей в возрасте от 1 до 7 лет»</w:t>
            </w:r>
          </w:p>
        </w:tc>
      </w:tr>
      <w:tr w:rsidR="00F323B1">
        <w:trPr>
          <w:trHeight w:val="16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gridSpan w:val="3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1.1. «Обеспечение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</w:tr>
      <w:tr w:rsidR="00F323B1">
        <w:trPr>
          <w:trHeight w:val="16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gridSpan w:val="3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1.2. «Обеспечение воспитания и обучения детей-инвалидов дошкольного возраста, проживающих в Кировградском городском округе, на дому, в дошкольных образовательных организациях»</w:t>
            </w:r>
          </w:p>
        </w:tc>
      </w:tr>
      <w:tr w:rsidR="00F323B1">
        <w:trPr>
          <w:trHeight w:val="16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gridSpan w:val="3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2. «Обеспечение доступности качественного общего образования, соответствующего требованиям инновационного социально-экономического развития Кировградского городского округа»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2.1. «Обеспечение детей современными условиями при реализации государственного стандарта общего образования»</w:t>
            </w:r>
          </w:p>
        </w:tc>
      </w:tr>
      <w:tr w:rsidR="00F323B1">
        <w:trPr>
          <w:trHeight w:val="13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2.2. «Обеспечение функционирования общеобразовательных организаций в рамках национальной образовательной инициативы «Наша новая школа»</w:t>
            </w:r>
          </w:p>
        </w:tc>
      </w:tr>
      <w:tr w:rsidR="00F323B1">
        <w:trPr>
          <w:trHeight w:val="100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2.3. «Осуществление мероприятий по организации питания в муниципальных общеобразовательных организациях»</w:t>
            </w:r>
          </w:p>
        </w:tc>
      </w:tr>
      <w:tr w:rsidR="00F323B1">
        <w:trPr>
          <w:trHeight w:val="22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2.4. «Обеспечение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Кировградского городского округа»</w:t>
            </w:r>
          </w:p>
        </w:tc>
      </w:tr>
      <w:tr w:rsidR="00F323B1">
        <w:trPr>
          <w:trHeight w:val="16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2.5.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      </w:r>
          </w:p>
        </w:tc>
      </w:tr>
      <w:tr w:rsidR="00F323B1">
        <w:trPr>
          <w:trHeight w:val="16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2.6. "Создание в общеобразовательных организациях, расположенных в сельской местности, условий для занятия физической культурой и спортом"</w:t>
            </w: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2.7. "Выплата вознаграждения за осуществление функций классного руководства"</w:t>
            </w: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2.8. 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2.9. Проведение ремонтов в общеобразовательных организациях, направленных на устранение предписаний и выполнение требований надзорных органов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00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2.10. Создание в общеобразовательных организациях условий для занятий физической культурой и спортом</w:t>
            </w:r>
          </w:p>
        </w:tc>
      </w:tr>
      <w:tr w:rsidR="00F323B1">
        <w:trPr>
          <w:trHeight w:val="6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2.11. Оборудование спортивной площадки МАОУ СОШ №1</w:t>
            </w:r>
          </w:p>
        </w:tc>
      </w:tr>
      <w:tr w:rsidR="00F323B1">
        <w:trPr>
          <w:trHeight w:val="6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2.12. Оборудование спортивной площадки МАОУ СОШ №3</w:t>
            </w:r>
          </w:p>
        </w:tc>
      </w:tr>
      <w:tr w:rsidR="00F323B1">
        <w:trPr>
          <w:trHeight w:val="229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2.13. "100% охват контингента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оборудовании"</w:t>
            </w:r>
          </w:p>
        </w:tc>
      </w:tr>
      <w:tr w:rsidR="00F323B1">
        <w:trPr>
          <w:trHeight w:val="261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2.14. "70% 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оборудования"</w:t>
            </w:r>
          </w:p>
        </w:tc>
      </w:tr>
      <w:tr w:rsidR="00F323B1">
        <w:trPr>
          <w:trHeight w:val="6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3. «Стимулирование образовательной деятельности образовательных учреждений»</w:t>
            </w: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3.1. «Обеспечение поддержки педагогов, достигающих высоких результатов в профессиональной деятельности»</w:t>
            </w:r>
          </w:p>
        </w:tc>
      </w:tr>
      <w:tr w:rsidR="00F323B1">
        <w:trPr>
          <w:trHeight w:val="16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3.2. «Предоставление поддержки инициативной и талантливой молодежи, имеющей высокие индивидуальные достижения в интеллектуальной и творческой деятельности»</w:t>
            </w: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4. «Обеспечение доступности качественных образовательных услуг в сфере дополнительного образования в Кировградском городском округе»</w:t>
            </w:r>
          </w:p>
        </w:tc>
      </w:tr>
      <w:tr w:rsidR="00F323B1">
        <w:trPr>
          <w:trHeight w:val="6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4.1. «Развитие системы дополнительного образования детей»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00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5. «Создание условий для сохранения здоровья и развития детей в Кировградском городском округе»</w:t>
            </w:r>
          </w:p>
        </w:tc>
      </w:tr>
      <w:tr w:rsidR="00F323B1">
        <w:trPr>
          <w:trHeight w:val="6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5.1. «Совершенствование форм организации отдыха и оздоровления детей»</w:t>
            </w:r>
          </w:p>
        </w:tc>
      </w:tr>
      <w:tr w:rsidR="00F323B1">
        <w:trPr>
          <w:trHeight w:val="16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6. «Формирование у населения негативного отношения к немедицинскому употреблению наркотических средств и психоактивных веществ и других видов патологической зависимости»</w:t>
            </w: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6.1. «Развитие и внедрение системного подхода к профилактике наркомании, алкоголизма и формированию здорового образа жизни»</w:t>
            </w:r>
          </w:p>
        </w:tc>
      </w:tr>
      <w:tr w:rsidR="00F323B1">
        <w:trPr>
          <w:trHeight w:val="229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7. «Приведение материально-технической базы образовательных организаций Кировградского городского округа в соответствие с современными требованиями к условиям реализации государственных образовательных стандартов»</w:t>
            </w:r>
          </w:p>
        </w:tc>
      </w:tr>
      <w:tr w:rsidR="00F323B1">
        <w:trPr>
          <w:trHeight w:val="19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7.1. «Обеспечение соответствия состояния зданий и помещений государственных и муниципальных образовательных организаций требованиям пожарной безопасности и санитарного законодательства»</w:t>
            </w:r>
          </w:p>
        </w:tc>
      </w:tr>
      <w:tr w:rsidR="00F323B1">
        <w:trPr>
          <w:trHeight w:val="19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7.2. «Создание в образовательных организациях условий для успешной социализации детей с ограниченными возможностями здоровья и детей-инвалидов, а также детей-сирот и детей, оставшихся без попечения родителей»</w:t>
            </w:r>
          </w:p>
        </w:tc>
      </w:tr>
      <w:tr w:rsidR="00F323B1">
        <w:trPr>
          <w:trHeight w:val="100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8. «Обеспечение общеобластных мероприятий и муниципальная поддержка в сфере образования»</w:t>
            </w:r>
          </w:p>
        </w:tc>
      </w:tr>
      <w:tr w:rsidR="00F323B1">
        <w:trPr>
          <w:trHeight w:val="100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8.1. «Обеспечение исполнения полномочий Управления образования Кировградского городского округа»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6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9. "Обеспечения благоприятного состояния окружающей среды и санэпидблагополучия территории как необходимого условия улучшения качества жизни и здоровья населения"</w:t>
            </w:r>
          </w:p>
        </w:tc>
      </w:tr>
      <w:tr w:rsidR="00F323B1">
        <w:trPr>
          <w:trHeight w:val="16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9.1. "Предупреждение чрезвычайных ситуаций муниципального характера, возникающих при осуществлении обращения с отходами производства и потребления и ликвидация их последствий"</w:t>
            </w:r>
          </w:p>
        </w:tc>
      </w:tr>
      <w:tr w:rsidR="00F323B1">
        <w:trPr>
          <w:trHeight w:val="16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10. "Создание условий для расширения естественнонаучных и технических представлений учащихся в сочетании с повышением интереса к техническим знаниям"</w:t>
            </w:r>
          </w:p>
        </w:tc>
      </w:tr>
      <w:tr w:rsidR="00F323B1">
        <w:trPr>
          <w:trHeight w:val="229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10.1. "Формирование умений и навыков конструирования и технического моделирования, приобретение опыта при решении сложных конструкторских задач по механике, общеучебных умений и навыков, универсальных способов деятельности и ключевых компетенций"</w:t>
            </w:r>
          </w:p>
        </w:tc>
      </w:tr>
      <w:tr w:rsidR="00F323B1">
        <w:trPr>
          <w:trHeight w:val="29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10.2. 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      </w:r>
          </w:p>
        </w:tc>
      </w:tr>
      <w:tr w:rsidR="00F323B1">
        <w:trPr>
          <w:trHeight w:val="19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11.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9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11.1. Обучение учащихся начальным знаниям в области обороны и подготовки по основам военной службы, правил обращения с боевым стрелковым ручным оружием, основ боевой , тактической медицинской строевой подготовки</w:t>
            </w:r>
          </w:p>
        </w:tc>
      </w:tr>
      <w:tr w:rsidR="00F323B1">
        <w:trPr>
          <w:trHeight w:val="22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Цель 12. "Обеспечение условий для подготовки в Кировградском городском округе рабочих и инженерных кадров в масштабах и с качеством, удовлетворяющим текущие и перспективные потребности экономики Кировградского городского округа"</w:t>
            </w:r>
          </w:p>
        </w:tc>
      </w:tr>
      <w:tr w:rsidR="00F323B1">
        <w:trPr>
          <w:trHeight w:val="13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7"/>
              <w:rPr>
                <w:rStyle w:val="CharacterStyle7"/>
                <w:szCs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8"/>
              <w:rPr>
                <w:rStyle w:val="CharacterStyle8"/>
                <w:szCs w:val="28"/>
              </w:rPr>
            </w:pPr>
            <w:r>
              <w:rPr>
                <w:rStyle w:val="CharacterStyle8"/>
                <w:szCs w:val="28"/>
              </w:rPr>
              <w:t>Задача 12.1. "Создание условий, обеспечивающих возможность реализации права граждан на непрерывное образование по инженерно-техническим специальностям"</w:t>
            </w:r>
          </w:p>
        </w:tc>
      </w:tr>
      <w:tr w:rsidR="00F323B1">
        <w:trPr>
          <w:trHeight w:val="13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3"/>
              <w:rPr>
                <w:rStyle w:val="CharacterStyle3"/>
                <w:szCs w:val="28"/>
              </w:rPr>
            </w:pPr>
            <w:r>
              <w:rPr>
                <w:rStyle w:val="CharacterStyle3"/>
                <w:szCs w:val="28"/>
              </w:rPr>
              <w:t>1. «Развитие системы дошкольного образования в Кировградском городском округе»</w:t>
            </w:r>
          </w:p>
        </w:tc>
      </w:tr>
      <w:tr w:rsidR="00F323B1">
        <w:trPr>
          <w:trHeight w:val="69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2. «Развитие системы общего образования в Кировградском городском округе»</w:t>
            </w: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3. «Развитие системы дополнительного образования в Кировградском городском округе»</w:t>
            </w:r>
          </w:p>
        </w:tc>
      </w:tr>
      <w:tr w:rsidR="00F323B1">
        <w:trPr>
          <w:trHeight w:val="69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 xml:space="preserve">4. </w:t>
            </w:r>
            <w:r w:rsidRPr="00AC6EAE">
              <w:rPr>
                <w:rStyle w:val="CharacterStyle10"/>
                <w:szCs w:val="28"/>
              </w:rPr>
              <w:t>"</w:t>
            </w:r>
            <w:r w:rsidRPr="00AC6EAE">
              <w:rPr>
                <w:rFonts w:ascii="Times New Roman" w:hAnsi="Times New Roman"/>
                <w:sz w:val="28"/>
                <w:szCs w:val="28"/>
              </w:rPr>
              <w:t>«Организация отдыха, оздоровления и занятости детей и подростков в каникулярное время</w:t>
            </w:r>
            <w:r w:rsidRPr="008952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5. «Предупреждение распространения наркомании, токсикомании, алкоголизма на территории Кировградского городского округа»</w:t>
            </w:r>
          </w:p>
        </w:tc>
      </w:tr>
      <w:tr w:rsidR="00F323B1">
        <w:trPr>
          <w:trHeight w:val="13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6. «Укрепление и развитие материально-технической базы образовательных организаций Кировградского городского округа»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7. «Обеспечение реализации муниципальной программы «Развитие системы образования в Кировградском городском округе»</w:t>
            </w:r>
          </w:p>
        </w:tc>
      </w:tr>
      <w:tr w:rsidR="00F323B1">
        <w:trPr>
          <w:trHeight w:val="69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8. «Экология Кировградского городского округа»</w:t>
            </w:r>
          </w:p>
        </w:tc>
      </w:tr>
      <w:tr w:rsidR="00F323B1">
        <w:trPr>
          <w:trHeight w:val="69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9. "Развитие технического творчества, робототехники и 3D моделирования"</w:t>
            </w:r>
          </w:p>
        </w:tc>
      </w:tr>
      <w:tr w:rsidR="00F323B1">
        <w:trPr>
          <w:trHeight w:val="69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10. Патриотическое воспитание граждан в Кировградском городском округе</w:t>
            </w:r>
          </w:p>
        </w:tc>
      </w:tr>
      <w:tr w:rsidR="00F323B1">
        <w:trPr>
          <w:trHeight w:val="70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11. "Реализация проекта "Уральская инженерная школа"</w:t>
            </w:r>
          </w:p>
        </w:tc>
      </w:tr>
      <w:tr w:rsidR="00F323B1">
        <w:trPr>
          <w:trHeight w:val="16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3"/>
              <w:rPr>
                <w:rStyle w:val="CharacterStyle3"/>
                <w:szCs w:val="28"/>
              </w:rPr>
            </w:pPr>
            <w:r>
              <w:rPr>
                <w:rStyle w:val="CharacterStyle3"/>
                <w:szCs w:val="28"/>
              </w:rPr>
              <w:t>1. Отношение численности детей в возрасте 3-7 лет, которым предоставлена возможность получать услуги дошкольного образования, к общей численности детей в возрасте 3-7 лет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2. Количество образовательных организаций дошкольного образования, имеющих исправные системы отопления, водоснабжения и водоотведения</w:t>
            </w:r>
          </w:p>
        </w:tc>
      </w:tr>
      <w:tr w:rsidR="00F323B1">
        <w:trPr>
          <w:trHeight w:val="201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3. Соотношение средней заработной платы педагогических работников муниципальных дошкольных образовательных учреждений и средней заработной платы в сфере общего образования в Кировградском городском округе</w:t>
            </w: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4. Отношение численности детей в возрасте 1-3 лет, которым предоставлена возможность получать услуги дошкольного образования, к общей численности детей в возрасте 1-3 лет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46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5. Доля муниципальных дошкольных организаций, обеспеченных  устройствами (средствами) дезинфекции и медицинского контроля для муниципальных организаций в целях профилактики и устранения последствий распространения новой коронавирусной инфекции в целях выполнения требований Федеральной службы по надзору в сфере защиты прав потребителей и благополучия человека по профилактики и устранению последствий распространения новой коронавирусной инфекции для поэтапного возобновления деятельности муниципальных организаций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6. Доля дошкольных образовательных учреждений,в которых здания и помещения приведены в соответствие с требованиями антитеррористической безопасности</w:t>
            </w:r>
          </w:p>
        </w:tc>
      </w:tr>
      <w:tr w:rsidR="00F323B1">
        <w:trPr>
          <w:trHeight w:val="13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7. Охват детей-инвалидов дошкольного возраста, проживающих в Кировградском городском округе, обучением на дому, в дошкольных образовательных организациях</w:t>
            </w:r>
          </w:p>
        </w:tc>
      </w:tr>
      <w:tr w:rsidR="00F323B1">
        <w:trPr>
          <w:trHeight w:val="232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8. Охват детей школьного возраста в муниципальных общеобразовательных организациях Кировградского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      </w:r>
          </w:p>
        </w:tc>
      </w:tr>
      <w:tr w:rsidR="00F323B1">
        <w:trPr>
          <w:trHeight w:val="16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9. 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9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10. 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11. Приобретение немонтируемого оборудования, учебно-методического комплекса и прочего инвентаря для новой школы на 1200 мест</w:t>
            </w:r>
          </w:p>
        </w:tc>
      </w:tr>
      <w:tr w:rsidR="00F323B1">
        <w:trPr>
          <w:trHeight w:val="49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12. Доля муниципальных общеобразовательных организаций, обеспеченных  устройствами (средствами) дезинфекции и медицинского контроля для муниципальных организаций в целях профилактики и устранения последствий распространения новой коронавирусной инфекции в целях выполнения требований Федеральной службы по надзору в сфере защиты прав потребителей и благополучия человека по профилактики и устранению последствий распространения новой коронавирусной инфекции для поэтапного возобновления деятельности муниципальных организаций</w:t>
            </w:r>
          </w:p>
        </w:tc>
      </w:tr>
      <w:tr w:rsidR="00F323B1">
        <w:trPr>
          <w:trHeight w:val="16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13. 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14. Доля общеобразовательных организаций, функционирующих в рамках национального проекта "Образование", в общем количестве общеобразовательных организаций</w:t>
            </w:r>
          </w:p>
        </w:tc>
      </w:tr>
      <w:tr w:rsidR="00F323B1">
        <w:trPr>
          <w:trHeight w:val="10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15. Охват организованным горячим питанием учащихся общеобразовательных организаций</w:t>
            </w:r>
          </w:p>
        </w:tc>
      </w:tr>
      <w:tr w:rsidR="00F323B1">
        <w:trPr>
          <w:trHeight w:val="297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16. Доля обучающихся, получающих начальное общее образование 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 в государственных и муниципальных образовательных организациях</w:t>
            </w:r>
          </w:p>
        </w:tc>
      </w:tr>
      <w:tr w:rsidR="00F323B1">
        <w:trPr>
          <w:trHeight w:val="201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17. Доля выпускников муниципальных общеобразовательных организаций, не сдавших единый государственный экзамен в общей численности выпускников муниципальных общеобразовательных организаций</w:t>
            </w: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18. Соотношение средней заработной платы педагогических работников муниципальных общеобразовательных учреждений и средней заработной платы в Кировградском городском округе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19. Количество общеобразовательных организаций, расположенных в сельской местности, в которых отремонтированы спортивные залы</w:t>
            </w: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20. Увеличение доли учащихся, занимающихся физической культурой и спортом во внеурочное время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21.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22. Количество спортивных площадок в муниципальных общеобразовательных организациях, оборудованных в рамках реализации государственной программы Свердловской области "Развитие системы образования в Свердловской области до 2024 года"</w:t>
            </w:r>
          </w:p>
        </w:tc>
      </w:tr>
      <w:tr w:rsidR="00F323B1">
        <w:trPr>
          <w:trHeight w:val="232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23. Количество обучающихся муниципальных общеобразовательных организаций, которым предоставлена возможность использования оборудованной спортивной площадки для сдачи нормативов Всеросийского физкультурно-спортивного комплекса "Готов к труду и обороне!"</w:t>
            </w:r>
          </w:p>
        </w:tc>
      </w:tr>
      <w:tr w:rsidR="00F323B1">
        <w:trPr>
          <w:trHeight w:val="103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24. Создание и обеспечение всех необходимых условий для занятия спортом и сдачи норм ГТО</w:t>
            </w:r>
          </w:p>
        </w:tc>
      </w:tr>
      <w:tr w:rsidR="00F323B1">
        <w:trPr>
          <w:trHeight w:val="232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25. доля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</w:t>
            </w:r>
          </w:p>
        </w:tc>
      </w:tr>
      <w:tr w:rsidR="00F323B1">
        <w:trPr>
          <w:trHeight w:val="267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26. 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учебного оборудования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27. Поощрение лучших учителей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28. Поддержка талантливой молодежи как факт признания государством индивидуальных достижений учащихся</w:t>
            </w:r>
          </w:p>
        </w:tc>
      </w:tr>
      <w:tr w:rsidR="00F323B1">
        <w:trPr>
          <w:trHeight w:val="16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29. 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F323B1">
        <w:trPr>
          <w:trHeight w:val="232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30. Соотношение средней заработной платы педагогических работников муниципальных учреждений дополнительного образования детей и средней заработной платы учителей муниципальных учреждений общего образования в Кировградском городском округе</w:t>
            </w: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31. Доля исполнения мероприятий в рамках реализации плана природоохранных мероприятий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32.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33. Доля детей в возрасте от 5 до 18 лет, использующих сертификаты дополнительного образования  в статусе сертификатов персонифицированного финансирования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49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34. Доля муниципальных организаций дополнительного образования детей, обеспеченных  устройствами (средствами) дезинфекции и медицинского контроля для муниципальных организаций в целях профилактики и устранения последствий распространения новой коронавирусной инфекции в целях выполнения требований Федеральной службы по надзору в сфере защиты прав потребителей и благополучия человека по профилактики и устранению последствий распространения новой коронавирусной инфекции для поэтапного возобновления деятельности муниципальных организаций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35. Доля детей и подростков, получивших услуги по организации отдыха и оздоровления в санаторно- курортных учреждениях, загородных детских оздоровительных лагерях Кировградского городского округа , от общей численности детей школьного возраста</w:t>
            </w: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36. Доля подростков и молодежи в возрасте от 11 до 18 лет, вовлеченных в профилактические мероприятия</w:t>
            </w:r>
          </w:p>
        </w:tc>
      </w:tr>
      <w:tr w:rsidR="00F323B1">
        <w:trPr>
          <w:trHeight w:val="199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37.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52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38. 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      </w:r>
          </w:p>
        </w:tc>
      </w:tr>
      <w:tr w:rsidR="00F323B1">
        <w:trPr>
          <w:trHeight w:val="16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39. Количество мероприятий по устранению нарушений, выявленных органами государственного надзора в результате проверок в муниципальных общеобразовательных организациях</w:t>
            </w: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40. Доля общеобразовательных организаций, имеющих медицинские кабинеты, оснащенные необходимым медицинским оборудованием и прошедших лицензирование</w:t>
            </w:r>
          </w:p>
        </w:tc>
      </w:tr>
      <w:tr w:rsidR="00F323B1">
        <w:trPr>
          <w:trHeight w:val="201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41. Доля детей-инвалидов, получающих общее образование на дому в дистанционной форме, от общей численности детей-инвалидов, которым не противопоказано обучение по дистанционным технологиям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267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42. Доля аттестованных педагогических работников муниципальных образовательных организаций Кировградского городского округа от числа педагогических работников муниципальных образовательных организаций Кировградского городского округа , подлежащих аттестации</w:t>
            </w:r>
          </w:p>
        </w:tc>
      </w:tr>
      <w:tr w:rsidR="00F323B1">
        <w:trPr>
          <w:trHeight w:val="199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43. Доля целевых показателей муниципальной программы «Развитие системы образования в Кировградском городском округе на 2014-2020 годы», значения которых достигли или превысили запланированные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44. Доля проведенных мероприятий с участием МКУ "Управление образования Кировградского городского округа", от количества запланированных мероприятий</w:t>
            </w:r>
          </w:p>
        </w:tc>
      </w:tr>
      <w:tr w:rsidR="00F323B1">
        <w:trPr>
          <w:trHeight w:val="13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45. Акарицидная и дератизационная обработка территорий образовательных учреждений Кировградского городского округа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46. Доля обучающихся, занятых дополнительными образовательными программами технического творчества, от общей численности обучающихся</w:t>
            </w:r>
          </w:p>
        </w:tc>
      </w:tr>
      <w:tr w:rsidR="00F323B1">
        <w:trPr>
          <w:trHeight w:val="135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47. Доля обучающихся, охваченных массовыми мероприятиями в сфере технического творчества, от общей численности обучающихся</w:t>
            </w: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48. Количество обучающихся 10-х классов, принявших участие в военно-полевых сборах, возложение венка к Мемориалу</w:t>
            </w:r>
          </w:p>
        </w:tc>
      </w:tr>
      <w:tr w:rsidR="00F323B1">
        <w:trPr>
          <w:trHeight w:val="168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49. Количество муниципальных общеобразовательных организаций, в которых модернизированы кабинеты естественно-научного цикла в текущем финансовом году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102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50. Количество модернизированных кабинетов естественно-научного цикла в текущем финансовом году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51. Количество муниципальных общеобразовательных организаций, в которых в результате приобретения учебно-производственного оборудования созданы условия для проведения профориентационной работы в текущем финансовом году</w:t>
            </w:r>
          </w:p>
        </w:tc>
      </w:tr>
      <w:tr w:rsidR="00F323B1">
        <w:trPr>
          <w:trHeight w:val="265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52. Количество муниципальных образовательных организаций (дошкольные образовательные организации и (или) общеобразовательные организации), оснащенных специальным современным технологическим оборудованием и расходными материалами для 3D-моделирования в текущем финансовом году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53. Количество муниципальных дошкольных образовательных организаций, обеспечивающих формирование у детей дошкольного возраста компетенций конструирования, моделирования, программирования, изучения основ робототехники и проектной деятельности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693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54. Количество обучающихся - участников сетевых форм взаимодействия муниципальных образовательных организаций по совместному использованию материально-технических,учебно-методических ресурсов муниципальных образовательных организаций - участников мероприятий по обеспечению условий реализации муниципальными образовательными организациями в Свердловской области образовательных программ естественно-научного цикла и профориентационной работы для совместной реализации образовательных программ, содержащих модули, направленные на развитие познавательных способностей детей, поддержку технического творчества и компетенций конструирования, моделирования, программирования, изучения основ проектной деятельности</w:t>
            </w:r>
          </w:p>
        </w:tc>
      </w:tr>
      <w:tr w:rsidR="00F323B1">
        <w:trPr>
          <w:trHeight w:val="166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55. Прирост числа учащихся муниципальных общеобразовательных организаций, осваивающих дополнительные общеобразовательные программы технической направленности</w:t>
            </w:r>
          </w:p>
        </w:tc>
      </w:tr>
      <w:tr w:rsidR="00F323B1">
        <w:trPr>
          <w:trHeight w:val="3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Обьем финансирования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3"/>
              <w:rPr>
                <w:rStyle w:val="CharacterStyle3"/>
                <w:szCs w:val="28"/>
              </w:rPr>
            </w:pPr>
            <w:r>
              <w:rPr>
                <w:rStyle w:val="CharacterStyle3"/>
                <w:szCs w:val="28"/>
              </w:rPr>
              <w:t>ВСЕГО: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  <w:r>
              <w:rPr>
                <w:rStyle w:val="CharacterStyle9"/>
                <w:szCs w:val="28"/>
              </w:rPr>
              <w:t>муниципальной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5 311 639,4 тыс. рублей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  <w:r>
              <w:rPr>
                <w:rStyle w:val="CharacterStyle9"/>
                <w:szCs w:val="28"/>
              </w:rPr>
              <w:t>программы по годам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в том числе: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  <w:r>
              <w:rPr>
                <w:rStyle w:val="CharacterStyle9"/>
                <w:szCs w:val="28"/>
              </w:rPr>
              <w:t>реализации, тыс. рублей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2021 год - 776 167,0 тыс. рублей,</w:t>
            </w:r>
            <w:r>
              <w:rPr>
                <w:rStyle w:val="CharacterStyle11"/>
                <w:szCs w:val="28"/>
              </w:rPr>
              <w:br/>
              <w:t>2022 год - 768 000,2 тыс. рублей,</w:t>
            </w:r>
            <w:r>
              <w:rPr>
                <w:rStyle w:val="CharacterStyle11"/>
                <w:szCs w:val="28"/>
              </w:rPr>
              <w:br/>
              <w:t>2023 год - 781 763,0 тыс. рублей,</w:t>
            </w:r>
            <w:r>
              <w:rPr>
                <w:rStyle w:val="CharacterStyle11"/>
                <w:szCs w:val="28"/>
              </w:rPr>
              <w:br/>
              <w:t>2024 год - 746 427,2 тыс. рублей,</w:t>
            </w:r>
            <w:r>
              <w:rPr>
                <w:rStyle w:val="CharacterStyle11"/>
                <w:szCs w:val="28"/>
              </w:rPr>
              <w:br/>
              <w:t>2025 год - 746 427,2 тыс. рублей,</w:t>
            </w:r>
            <w:r>
              <w:rPr>
                <w:rStyle w:val="CharacterStyle11"/>
                <w:szCs w:val="28"/>
              </w:rPr>
              <w:br/>
              <w:t>2026 год - 746 427,2 тыс. рублей,</w:t>
            </w:r>
            <w:r>
              <w:rPr>
                <w:rStyle w:val="CharacterStyle11"/>
                <w:szCs w:val="28"/>
              </w:rPr>
              <w:br/>
              <w:t>2027 год - 746 427,5 тыс. рублей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из них: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областной бюджет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3 195 213,4 тыс. рублей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в том числе: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2021 год - 463 765,0 тыс. рублей,</w:t>
            </w:r>
            <w:r>
              <w:rPr>
                <w:rStyle w:val="CharacterStyle11"/>
                <w:szCs w:val="28"/>
              </w:rPr>
              <w:br/>
              <w:t>2022 год - 460 100,1 тыс. рублей,</w:t>
            </w:r>
            <w:r>
              <w:rPr>
                <w:rStyle w:val="CharacterStyle11"/>
                <w:szCs w:val="28"/>
              </w:rPr>
              <w:br/>
              <w:t>2023 год - 467 338,3 тыс. рублей,</w:t>
            </w:r>
            <w:r>
              <w:rPr>
                <w:rStyle w:val="CharacterStyle11"/>
                <w:szCs w:val="28"/>
              </w:rPr>
              <w:br/>
              <w:t>2024 год - 451 002,5 тыс. рублей,</w:t>
            </w:r>
            <w:r>
              <w:rPr>
                <w:rStyle w:val="CharacterStyle11"/>
                <w:szCs w:val="28"/>
              </w:rPr>
              <w:br/>
              <w:t>2025 год - 451 002,5 тыс. рублей,</w:t>
            </w:r>
            <w:r>
              <w:rPr>
                <w:rStyle w:val="CharacterStyle11"/>
                <w:szCs w:val="28"/>
              </w:rPr>
              <w:br/>
              <w:t>2026 год - 451 002,5 тыс. рублей,</w:t>
            </w:r>
            <w:r>
              <w:rPr>
                <w:rStyle w:val="CharacterStyle11"/>
                <w:szCs w:val="28"/>
              </w:rPr>
              <w:br/>
              <w:t>2027 год - 451 002,5 тыс. рублей</w:t>
            </w:r>
          </w:p>
        </w:tc>
      </w:tr>
      <w:tr w:rsidR="00F323B1">
        <w:trPr>
          <w:trHeight w:hRule="exact" w:val="15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федеральный бюджет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0,0 тыс. рублей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в том числе:</w:t>
            </w:r>
          </w:p>
        </w:tc>
      </w:tr>
      <w:tr w:rsidR="00F323B1">
        <w:trPr>
          <w:trHeight w:val="232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2021 год - 0,0 тыс. рублей,</w:t>
            </w:r>
            <w:r>
              <w:rPr>
                <w:rStyle w:val="CharacterStyle11"/>
                <w:szCs w:val="28"/>
              </w:rPr>
              <w:br/>
              <w:t>2022 год - 0,0 тыс. рублей,</w:t>
            </w:r>
            <w:r>
              <w:rPr>
                <w:rStyle w:val="CharacterStyle11"/>
                <w:szCs w:val="28"/>
              </w:rPr>
              <w:br/>
              <w:t>2023 год - 0,0 тыс. рублей,</w:t>
            </w:r>
            <w:r>
              <w:rPr>
                <w:rStyle w:val="CharacterStyle11"/>
                <w:szCs w:val="28"/>
              </w:rPr>
              <w:br/>
              <w:t>2024 год - 0,0 тыс. рублей,</w:t>
            </w:r>
            <w:r>
              <w:rPr>
                <w:rStyle w:val="CharacterStyle11"/>
                <w:szCs w:val="28"/>
              </w:rPr>
              <w:br/>
              <w:t>2025 год - 0,0 тыс. рублей,</w:t>
            </w:r>
            <w:r>
              <w:rPr>
                <w:rStyle w:val="CharacterStyle11"/>
                <w:szCs w:val="28"/>
              </w:rPr>
              <w:br/>
              <w:t>2026 год - 0,0 тыс. рублей,</w:t>
            </w:r>
            <w:r>
              <w:rPr>
                <w:rStyle w:val="CharacterStyle11"/>
                <w:szCs w:val="28"/>
              </w:rPr>
              <w:br/>
              <w:t>2027 год - 0,0 тыс. рублей</w:t>
            </w:r>
          </w:p>
        </w:tc>
      </w:tr>
      <w:tr w:rsidR="00F323B1">
        <w:trPr>
          <w:trHeight w:hRule="exact" w:val="15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местный бюджет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1 828 527,0 тыс. рублей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в том числе:</w:t>
            </w:r>
          </w:p>
        </w:tc>
      </w:tr>
      <w:tr w:rsidR="00F323B1">
        <w:trPr>
          <w:trHeight w:val="234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2021 год - 271 273,6 тыс. рублей,</w:t>
            </w:r>
            <w:r>
              <w:rPr>
                <w:rStyle w:val="CharacterStyle11"/>
                <w:szCs w:val="28"/>
              </w:rPr>
              <w:br/>
              <w:t>2022 год - 266 771,6 тыс. рублей,</w:t>
            </w:r>
            <w:r>
              <w:rPr>
                <w:rStyle w:val="CharacterStyle11"/>
                <w:szCs w:val="28"/>
              </w:rPr>
              <w:br/>
              <w:t>2023 год - 273 296,3 тыс. рублей,</w:t>
            </w:r>
            <w:r>
              <w:rPr>
                <w:rStyle w:val="CharacterStyle11"/>
                <w:szCs w:val="28"/>
              </w:rPr>
              <w:br/>
              <w:t>2024 год - 254 296,3 тыс. рублей,</w:t>
            </w:r>
            <w:r>
              <w:rPr>
                <w:rStyle w:val="CharacterStyle11"/>
                <w:szCs w:val="28"/>
              </w:rPr>
              <w:br/>
              <w:t>2025 год - 254 296,3 тыс. рублей,</w:t>
            </w:r>
            <w:r>
              <w:rPr>
                <w:rStyle w:val="CharacterStyle11"/>
                <w:szCs w:val="28"/>
              </w:rPr>
              <w:br/>
              <w:t>2026 год - 254 296,3 тыс. рублей,</w:t>
            </w:r>
            <w:r>
              <w:rPr>
                <w:rStyle w:val="CharacterStyle11"/>
                <w:szCs w:val="28"/>
              </w:rPr>
              <w:br/>
              <w:t>2027 год - 254 296,6 тыс. рублей</w:t>
            </w:r>
          </w:p>
        </w:tc>
      </w:tr>
      <w:tr w:rsidR="00F323B1">
        <w:trPr>
          <w:trHeight w:hRule="exact" w:val="15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0"/>
              <w:rPr>
                <w:rStyle w:val="CharacterStyle10"/>
                <w:szCs w:val="28"/>
              </w:rPr>
            </w:pPr>
            <w:r>
              <w:rPr>
                <w:rStyle w:val="CharacterStyle10"/>
                <w:szCs w:val="28"/>
              </w:rPr>
              <w:t>внебюджетные источники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287 899,0 тыс. рублей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в том числе:</w:t>
            </w:r>
          </w:p>
        </w:tc>
      </w:tr>
      <w:tr w:rsidR="00F323B1">
        <w:trPr>
          <w:trHeight w:val="232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9"/>
              <w:rPr>
                <w:rStyle w:val="CharacterStyle9"/>
                <w:szCs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1"/>
              <w:rPr>
                <w:rStyle w:val="CharacterStyle11"/>
                <w:szCs w:val="28"/>
              </w:rPr>
            </w:pPr>
            <w:r>
              <w:rPr>
                <w:rStyle w:val="CharacterStyle11"/>
                <w:szCs w:val="28"/>
              </w:rPr>
              <w:t>2021 год - 41 128,4 тыс. рублей,</w:t>
            </w:r>
            <w:r>
              <w:rPr>
                <w:rStyle w:val="CharacterStyle11"/>
                <w:szCs w:val="28"/>
              </w:rPr>
              <w:br/>
              <w:t>2022 год - 41 128,4 тыс. рублей,</w:t>
            </w:r>
            <w:r>
              <w:rPr>
                <w:rStyle w:val="CharacterStyle11"/>
                <w:szCs w:val="28"/>
              </w:rPr>
              <w:br/>
              <w:t>2023 год - 41 128,4 тыс. рублей,</w:t>
            </w:r>
            <w:r>
              <w:rPr>
                <w:rStyle w:val="CharacterStyle11"/>
                <w:szCs w:val="28"/>
              </w:rPr>
              <w:br/>
              <w:t>2024 год - 41 128,4 тыс. рублей,</w:t>
            </w:r>
            <w:r>
              <w:rPr>
                <w:rStyle w:val="CharacterStyle11"/>
                <w:szCs w:val="28"/>
              </w:rPr>
              <w:br/>
              <w:t>2025 год - 41 128,4 тыс. рублей,</w:t>
            </w:r>
            <w:r>
              <w:rPr>
                <w:rStyle w:val="CharacterStyle11"/>
                <w:szCs w:val="28"/>
              </w:rPr>
              <w:br/>
              <w:t>2026 год - 41 128,4 тыс. рублей,</w:t>
            </w:r>
            <w:r>
              <w:rPr>
                <w:rStyle w:val="CharacterStyle11"/>
                <w:szCs w:val="28"/>
              </w:rPr>
              <w:br/>
              <w:t>2027 год - 41 128,4 тыс. рублей</w:t>
            </w:r>
          </w:p>
        </w:tc>
      </w:tr>
    </w:tbl>
    <w:p w:rsidR="00F323B1" w:rsidRDefault="00F323B1">
      <w:pPr>
        <w:sectPr w:rsidR="00F323B1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50"/>
        <w:gridCol w:w="3375"/>
        <w:gridCol w:w="5730"/>
      </w:tblGrid>
      <w:tr w:rsidR="00F323B1">
        <w:trPr>
          <w:trHeight w:hRule="exact" w:val="1440"/>
        </w:trPr>
        <w:tc>
          <w:tcPr>
            <w:tcW w:w="9255" w:type="dxa"/>
            <w:gridSpan w:val="3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</w:tr>
      <w:tr w:rsidR="00F323B1">
        <w:trPr>
          <w:trHeight w:val="3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2"/>
              <w:rPr>
                <w:rStyle w:val="CharacterStyle2"/>
                <w:szCs w:val="28"/>
              </w:rPr>
            </w:pPr>
            <w:r>
              <w:rPr>
                <w:rStyle w:val="CharacterStyle2"/>
                <w:szCs w:val="28"/>
              </w:rPr>
              <w:t>Адрес размещения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3"/>
              <w:rPr>
                <w:rStyle w:val="CharacterStyle3"/>
                <w:szCs w:val="28"/>
              </w:rPr>
            </w:pPr>
            <w:r>
              <w:rPr>
                <w:rStyle w:val="CharacterStyle3"/>
                <w:szCs w:val="28"/>
              </w:rPr>
              <w:t>http://kirovgrad.midural.ru</w:t>
            </w: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12"/>
              <w:rPr>
                <w:rStyle w:val="CharacterStyle12"/>
                <w:szCs w:val="28"/>
              </w:rPr>
            </w:pPr>
            <w:r>
              <w:rPr>
                <w:rStyle w:val="CharacterStyle12"/>
                <w:szCs w:val="28"/>
              </w:rPr>
              <w:t>муниципальной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3"/>
              <w:rPr>
                <w:rStyle w:val="CharacterStyle13"/>
                <w:szCs w:val="28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12"/>
              <w:rPr>
                <w:rStyle w:val="CharacterStyle12"/>
                <w:szCs w:val="28"/>
              </w:rPr>
            </w:pPr>
            <w:r>
              <w:rPr>
                <w:rStyle w:val="CharacterStyle12"/>
                <w:szCs w:val="28"/>
              </w:rPr>
              <w:t>программы в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3"/>
              <w:rPr>
                <w:rStyle w:val="CharacterStyle13"/>
                <w:szCs w:val="28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12"/>
              <w:rPr>
                <w:rStyle w:val="CharacterStyle12"/>
                <w:szCs w:val="28"/>
              </w:rPr>
            </w:pPr>
            <w:r>
              <w:rPr>
                <w:rStyle w:val="CharacterStyle12"/>
                <w:szCs w:val="28"/>
              </w:rPr>
              <w:t>информационно-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3"/>
              <w:rPr>
                <w:rStyle w:val="CharacterStyle13"/>
                <w:szCs w:val="28"/>
              </w:rPr>
            </w:pPr>
          </w:p>
        </w:tc>
      </w:tr>
      <w:tr w:rsidR="00F323B1">
        <w:trPr>
          <w:trHeight w:val="360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12"/>
              <w:rPr>
                <w:rStyle w:val="CharacterStyle12"/>
                <w:szCs w:val="28"/>
              </w:rPr>
            </w:pPr>
            <w:r>
              <w:rPr>
                <w:rStyle w:val="CharacterStyle12"/>
                <w:szCs w:val="28"/>
              </w:rPr>
              <w:t>-телекоммуникационной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</w:tcPr>
          <w:p w:rsidR="00F323B1" w:rsidRDefault="00F323B1">
            <w:pPr>
              <w:pStyle w:val="ParagraphStyle13"/>
              <w:rPr>
                <w:rStyle w:val="CharacterStyle13"/>
                <w:szCs w:val="28"/>
              </w:rPr>
            </w:pPr>
          </w:p>
        </w:tc>
      </w:tr>
      <w:tr w:rsidR="00F323B1">
        <w:trPr>
          <w:trHeight w:val="375"/>
        </w:trPr>
        <w:tc>
          <w:tcPr>
            <w:tcW w:w="150" w:type="dxa"/>
          </w:tcPr>
          <w:p w:rsidR="00F323B1" w:rsidRDefault="00F323B1">
            <w:pPr>
              <w:rPr>
                <w:rStyle w:val="FakeCharacterStyle"/>
                <w:szCs w:val="2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14"/>
              <w:rPr>
                <w:rStyle w:val="CharacterStyle14"/>
                <w:szCs w:val="28"/>
              </w:rPr>
            </w:pPr>
            <w:r>
              <w:rPr>
                <w:rStyle w:val="CharacterStyle14"/>
                <w:szCs w:val="28"/>
              </w:rPr>
              <w:t>сети Интернет</w:t>
            </w:r>
          </w:p>
        </w:tc>
        <w:tc>
          <w:tcPr>
            <w:tcW w:w="5730" w:type="dxa"/>
            <w:tcBorders>
              <w:bottom w:val="single" w:sz="6" w:space="0" w:color="000000"/>
              <w:right w:val="single" w:sz="6" w:space="0" w:color="000000"/>
            </w:tcBorders>
          </w:tcPr>
          <w:p w:rsidR="00F323B1" w:rsidRDefault="00F323B1">
            <w:pPr>
              <w:pStyle w:val="ParagraphStyle15"/>
              <w:rPr>
                <w:rStyle w:val="CharacterStyle15"/>
                <w:szCs w:val="28"/>
              </w:rPr>
            </w:pPr>
          </w:p>
        </w:tc>
      </w:tr>
    </w:tbl>
    <w:p w:rsidR="00F323B1" w:rsidRDefault="00F323B1"/>
    <w:sectPr w:rsidR="00F323B1" w:rsidSect="00532E54">
      <w:pgSz w:w="12240" w:h="15840"/>
      <w:pgMar w:top="0" w:right="849" w:bottom="0" w:left="1699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E54"/>
    <w:rsid w:val="00013D6D"/>
    <w:rsid w:val="002F224B"/>
    <w:rsid w:val="00347FB4"/>
    <w:rsid w:val="00360B5C"/>
    <w:rsid w:val="00486495"/>
    <w:rsid w:val="00532E54"/>
    <w:rsid w:val="00786BBE"/>
    <w:rsid w:val="008876DC"/>
    <w:rsid w:val="008952A1"/>
    <w:rsid w:val="009D24E9"/>
    <w:rsid w:val="00AC6EAE"/>
    <w:rsid w:val="00AD403C"/>
    <w:rsid w:val="00E3137D"/>
    <w:rsid w:val="00EA6275"/>
    <w:rsid w:val="00F21C90"/>
    <w:rsid w:val="00F3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E54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Style0">
    <w:name w:val="ParagraphStyle0"/>
    <w:hidden/>
    <w:uiPriority w:val="99"/>
    <w:rsid w:val="00532E54"/>
  </w:style>
  <w:style w:type="paragraph" w:customStyle="1" w:styleId="ParagraphStyle1">
    <w:name w:val="ParagraphStyle1"/>
    <w:hidden/>
    <w:uiPriority w:val="99"/>
    <w:rsid w:val="00532E54"/>
    <w:pPr>
      <w:jc w:val="center"/>
    </w:pPr>
  </w:style>
  <w:style w:type="paragraph" w:customStyle="1" w:styleId="ParagraphStyle2">
    <w:name w:val="ParagraphStyle2"/>
    <w:hidden/>
    <w:uiPriority w:val="99"/>
    <w:rsid w:val="00532E54"/>
    <w:pPr>
      <w:ind w:left="115"/>
    </w:pPr>
  </w:style>
  <w:style w:type="paragraph" w:customStyle="1" w:styleId="ParagraphStyle3">
    <w:name w:val="ParagraphStyle3"/>
    <w:hidden/>
    <w:uiPriority w:val="99"/>
    <w:rsid w:val="00532E54"/>
    <w:pPr>
      <w:ind w:left="115" w:right="115"/>
      <w:jc w:val="both"/>
    </w:pPr>
  </w:style>
  <w:style w:type="paragraph" w:customStyle="1" w:styleId="ParagraphStyle4">
    <w:name w:val="ParagraphStyle4"/>
    <w:hidden/>
    <w:uiPriority w:val="99"/>
    <w:rsid w:val="00532E54"/>
    <w:pPr>
      <w:ind w:left="115"/>
    </w:pPr>
  </w:style>
  <w:style w:type="paragraph" w:customStyle="1" w:styleId="ParagraphStyle5">
    <w:name w:val="ParagraphStyle5"/>
    <w:hidden/>
    <w:uiPriority w:val="99"/>
    <w:rsid w:val="00532E54"/>
  </w:style>
  <w:style w:type="paragraph" w:customStyle="1" w:styleId="ParagraphStyle6">
    <w:name w:val="ParagraphStyle6"/>
    <w:hidden/>
    <w:uiPriority w:val="99"/>
    <w:rsid w:val="00532E54"/>
    <w:pPr>
      <w:ind w:left="115" w:right="115"/>
      <w:jc w:val="both"/>
    </w:pPr>
  </w:style>
  <w:style w:type="paragraph" w:customStyle="1" w:styleId="ParagraphStyle7">
    <w:name w:val="ParagraphStyle7"/>
    <w:hidden/>
    <w:uiPriority w:val="99"/>
    <w:rsid w:val="00532E54"/>
  </w:style>
  <w:style w:type="paragraph" w:customStyle="1" w:styleId="ParagraphStyle8">
    <w:name w:val="ParagraphStyle8"/>
    <w:hidden/>
    <w:uiPriority w:val="99"/>
    <w:rsid w:val="00532E54"/>
    <w:pPr>
      <w:ind w:left="115" w:right="115"/>
      <w:jc w:val="both"/>
    </w:pPr>
  </w:style>
  <w:style w:type="paragraph" w:customStyle="1" w:styleId="ParagraphStyle9">
    <w:name w:val="ParagraphStyle9"/>
    <w:hidden/>
    <w:uiPriority w:val="99"/>
    <w:rsid w:val="00532E54"/>
    <w:pPr>
      <w:ind w:left="115"/>
    </w:pPr>
  </w:style>
  <w:style w:type="paragraph" w:customStyle="1" w:styleId="ParagraphStyle10">
    <w:name w:val="ParagraphStyle10"/>
    <w:hidden/>
    <w:uiPriority w:val="99"/>
    <w:rsid w:val="00532E54"/>
    <w:pPr>
      <w:ind w:left="115" w:right="115"/>
      <w:jc w:val="both"/>
    </w:pPr>
  </w:style>
  <w:style w:type="paragraph" w:customStyle="1" w:styleId="ParagraphStyle11">
    <w:name w:val="ParagraphStyle11"/>
    <w:hidden/>
    <w:uiPriority w:val="99"/>
    <w:rsid w:val="00532E54"/>
    <w:pPr>
      <w:ind w:left="115"/>
    </w:pPr>
  </w:style>
  <w:style w:type="paragraph" w:customStyle="1" w:styleId="ParagraphStyle12">
    <w:name w:val="ParagraphStyle12"/>
    <w:hidden/>
    <w:uiPriority w:val="99"/>
    <w:rsid w:val="00532E54"/>
    <w:pPr>
      <w:ind w:left="115"/>
    </w:pPr>
  </w:style>
  <w:style w:type="paragraph" w:customStyle="1" w:styleId="ParagraphStyle13">
    <w:name w:val="ParagraphStyle13"/>
    <w:hidden/>
    <w:uiPriority w:val="99"/>
    <w:rsid w:val="00532E54"/>
    <w:pPr>
      <w:ind w:left="115"/>
    </w:pPr>
  </w:style>
  <w:style w:type="paragraph" w:customStyle="1" w:styleId="ParagraphStyle14">
    <w:name w:val="ParagraphStyle14"/>
    <w:hidden/>
    <w:uiPriority w:val="99"/>
    <w:rsid w:val="00532E54"/>
    <w:pPr>
      <w:ind w:left="115"/>
    </w:pPr>
  </w:style>
  <w:style w:type="paragraph" w:customStyle="1" w:styleId="ParagraphStyle15">
    <w:name w:val="ParagraphStyle15"/>
    <w:hidden/>
    <w:uiPriority w:val="99"/>
    <w:rsid w:val="00532E54"/>
    <w:pPr>
      <w:ind w:left="115"/>
    </w:pPr>
  </w:style>
  <w:style w:type="character" w:styleId="LineNumber">
    <w:name w:val="line number"/>
    <w:basedOn w:val="DefaultParagraphFont"/>
    <w:uiPriority w:val="99"/>
    <w:semiHidden/>
    <w:rsid w:val="00532E54"/>
    <w:rPr>
      <w:rFonts w:cs="Times New Roman"/>
    </w:rPr>
  </w:style>
  <w:style w:type="character" w:styleId="Hyperlink">
    <w:name w:val="Hyperlink"/>
    <w:basedOn w:val="DefaultParagraphFont"/>
    <w:uiPriority w:val="99"/>
    <w:rsid w:val="00532E54"/>
    <w:rPr>
      <w:rFonts w:cs="Times New Roman"/>
      <w:color w:val="0000FF"/>
      <w:u w:val="single"/>
    </w:rPr>
  </w:style>
  <w:style w:type="character" w:customStyle="1" w:styleId="FakeCharacterStyle">
    <w:name w:val="FakeCharacterStyle"/>
    <w:hidden/>
    <w:uiPriority w:val="99"/>
    <w:rsid w:val="00532E54"/>
    <w:rPr>
      <w:sz w:val="2"/>
    </w:rPr>
  </w:style>
  <w:style w:type="character" w:customStyle="1" w:styleId="CharacterStyle0">
    <w:name w:val="CharacterStyle0"/>
    <w:hidden/>
    <w:uiPriority w:val="99"/>
    <w:rsid w:val="00532E54"/>
    <w:rPr>
      <w:rFonts w:ascii="Times New Roman" w:hAnsi="Times New Roman"/>
      <w:noProof/>
      <w:color w:val="000000"/>
      <w:sz w:val="19"/>
      <w:u w:val="none"/>
    </w:rPr>
  </w:style>
  <w:style w:type="character" w:customStyle="1" w:styleId="CharacterStyle1">
    <w:name w:val="CharacterStyle1"/>
    <w:hidden/>
    <w:uiPriority w:val="99"/>
    <w:rsid w:val="00532E54"/>
    <w:rPr>
      <w:rFonts w:ascii="Times New Roman" w:hAnsi="Times New Roman"/>
      <w:b/>
      <w:noProof/>
      <w:color w:val="000000"/>
      <w:sz w:val="28"/>
      <w:u w:val="none"/>
    </w:rPr>
  </w:style>
  <w:style w:type="character" w:customStyle="1" w:styleId="CharacterStyle2">
    <w:name w:val="CharacterStyle2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3">
    <w:name w:val="CharacterStyle3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4">
    <w:name w:val="CharacterStyle4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5">
    <w:name w:val="CharacterStyle5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6">
    <w:name w:val="CharacterStyle6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7">
    <w:name w:val="CharacterStyle7"/>
    <w:hidden/>
    <w:uiPriority w:val="99"/>
    <w:rsid w:val="00532E54"/>
    <w:rPr>
      <w:rFonts w:ascii="Times New Roman" w:hAnsi="Times New Roman"/>
      <w:noProof/>
      <w:color w:val="000000"/>
      <w:sz w:val="19"/>
      <w:u w:val="none"/>
    </w:rPr>
  </w:style>
  <w:style w:type="character" w:customStyle="1" w:styleId="CharacterStyle8">
    <w:name w:val="CharacterStyle8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9">
    <w:name w:val="CharacterStyle9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10">
    <w:name w:val="CharacterStyle10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11">
    <w:name w:val="CharacterStyle11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12">
    <w:name w:val="CharacterStyle12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13">
    <w:name w:val="CharacterStyle13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14">
    <w:name w:val="CharacterStyle14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character" w:customStyle="1" w:styleId="CharacterStyle15">
    <w:name w:val="CharacterStyle15"/>
    <w:hidden/>
    <w:uiPriority w:val="99"/>
    <w:rsid w:val="00532E54"/>
    <w:rPr>
      <w:rFonts w:ascii="Times New Roman" w:hAnsi="Times New Roman"/>
      <w:noProof/>
      <w:color w:val="000000"/>
      <w:sz w:val="28"/>
      <w:u w:val="none"/>
    </w:rPr>
  </w:style>
  <w:style w:type="table" w:styleId="TableSimple1">
    <w:name w:val="Table Simple 1"/>
    <w:basedOn w:val="TableNormal"/>
    <w:uiPriority w:val="99"/>
    <w:rsid w:val="00532E5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19</Pages>
  <Words>3230</Words>
  <Characters>18417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/>
  <cp:keywords/>
  <dc:description/>
  <cp:lastModifiedBy>User</cp:lastModifiedBy>
  <cp:revision>7</cp:revision>
  <dcterms:created xsi:type="dcterms:W3CDTF">2021-02-17T04:20:00Z</dcterms:created>
  <dcterms:modified xsi:type="dcterms:W3CDTF">2021-02-17T05:32:00Z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17.2.15.0</vt:lpwstr>
  </property>
</Properties>
</file>